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3619" w14:textId="7F029BDC" w:rsidR="00325138" w:rsidRPr="00325138" w:rsidRDefault="00325138" w:rsidP="00325138">
      <w:pPr>
        <w:spacing w:after="0"/>
        <w:jc w:val="both"/>
        <w:rPr>
          <w:rFonts w:ascii="Times New Roman" w:hAnsi="Times New Roman" w:cs="Times New Roman"/>
          <w:b/>
          <w:bCs/>
          <w:lang w:val="lt-LT"/>
        </w:rPr>
      </w:pPr>
      <w:r w:rsidRPr="00325138">
        <w:rPr>
          <w:rFonts w:ascii="Times New Roman" w:hAnsi="Times New Roman" w:cs="Times New Roman"/>
          <w:b/>
          <w:bCs/>
          <w:noProof/>
          <w:lang w:val="lt-LT"/>
        </w:rPr>
        <w:drawing>
          <wp:anchor distT="0" distB="0" distL="114300" distR="114300" simplePos="0" relativeHeight="251658240" behindDoc="0" locked="0" layoutInCell="1" allowOverlap="1" wp14:anchorId="067E3690" wp14:editId="6AAB0EEE">
            <wp:simplePos x="0" y="0"/>
            <wp:positionH relativeFrom="column">
              <wp:posOffset>2329815</wp:posOffset>
            </wp:positionH>
            <wp:positionV relativeFrom="paragraph">
              <wp:posOffset>83185</wp:posOffset>
            </wp:positionV>
            <wp:extent cx="1512570" cy="628650"/>
            <wp:effectExtent l="0" t="0" r="0" b="0"/>
            <wp:wrapThrough wrapText="bothSides">
              <wp:wrapPolygon edited="0">
                <wp:start x="0" y="0"/>
                <wp:lineTo x="0" y="20945"/>
                <wp:lineTo x="21219" y="20945"/>
                <wp:lineTo x="21219" y="0"/>
                <wp:lineTo x="0" y="0"/>
              </wp:wrapPolygon>
            </wp:wrapThrough>
            <wp:docPr id="99780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04924" name=""/>
                    <pic:cNvPicPr/>
                  </pic:nvPicPr>
                  <pic:blipFill>
                    <a:blip r:embed="rId4">
                      <a:extLst>
                        <a:ext uri="{28A0092B-C50C-407E-A947-70E740481C1C}">
                          <a14:useLocalDpi xmlns:a14="http://schemas.microsoft.com/office/drawing/2010/main" val="0"/>
                        </a:ext>
                      </a:extLst>
                    </a:blip>
                    <a:stretch>
                      <a:fillRect/>
                    </a:stretch>
                  </pic:blipFill>
                  <pic:spPr>
                    <a:xfrm>
                      <a:off x="0" y="0"/>
                      <a:ext cx="1512570" cy="628650"/>
                    </a:xfrm>
                    <a:prstGeom prst="rect">
                      <a:avLst/>
                    </a:prstGeom>
                  </pic:spPr>
                </pic:pic>
              </a:graphicData>
            </a:graphic>
            <wp14:sizeRelH relativeFrom="margin">
              <wp14:pctWidth>0</wp14:pctWidth>
            </wp14:sizeRelH>
            <wp14:sizeRelV relativeFrom="margin">
              <wp14:pctHeight>0</wp14:pctHeight>
            </wp14:sizeRelV>
          </wp:anchor>
        </w:drawing>
      </w:r>
    </w:p>
    <w:p w14:paraId="05F8B9B2" w14:textId="436118D6" w:rsidR="00325138" w:rsidRPr="00325138" w:rsidRDefault="00325138" w:rsidP="00325138">
      <w:pPr>
        <w:spacing w:after="0"/>
        <w:jc w:val="both"/>
        <w:rPr>
          <w:rFonts w:ascii="Times New Roman" w:hAnsi="Times New Roman" w:cs="Times New Roman"/>
          <w:b/>
          <w:bCs/>
          <w:lang w:val="lt-LT"/>
        </w:rPr>
      </w:pPr>
    </w:p>
    <w:p w14:paraId="299DCAD2" w14:textId="77777777" w:rsidR="00325138" w:rsidRPr="00325138" w:rsidRDefault="00325138" w:rsidP="00325138">
      <w:pPr>
        <w:spacing w:after="0"/>
        <w:jc w:val="both"/>
        <w:rPr>
          <w:rFonts w:ascii="Times New Roman" w:hAnsi="Times New Roman" w:cs="Times New Roman"/>
          <w:b/>
          <w:bCs/>
          <w:lang w:val="lt-LT"/>
        </w:rPr>
      </w:pPr>
    </w:p>
    <w:p w14:paraId="4F7733BE" w14:textId="77777777" w:rsidR="00325138" w:rsidRPr="00325138" w:rsidRDefault="00325138" w:rsidP="00325138">
      <w:pPr>
        <w:spacing w:after="0"/>
        <w:jc w:val="both"/>
        <w:rPr>
          <w:rFonts w:ascii="Times New Roman" w:hAnsi="Times New Roman" w:cs="Times New Roman"/>
          <w:b/>
          <w:bCs/>
          <w:lang w:val="lt-LT"/>
        </w:rPr>
      </w:pPr>
    </w:p>
    <w:p w14:paraId="6811222E" w14:textId="686E7283" w:rsidR="008E08CE" w:rsidRPr="00325138" w:rsidRDefault="0058198D" w:rsidP="00325138">
      <w:pPr>
        <w:spacing w:after="0"/>
        <w:jc w:val="center"/>
        <w:rPr>
          <w:rFonts w:ascii="Times New Roman" w:hAnsi="Times New Roman" w:cs="Times New Roman"/>
          <w:b/>
          <w:bCs/>
          <w:sz w:val="28"/>
          <w:szCs w:val="28"/>
          <w:lang w:val="lt-LT"/>
        </w:rPr>
      </w:pPr>
      <w:r w:rsidRPr="00325138">
        <w:rPr>
          <w:rFonts w:ascii="Times New Roman" w:hAnsi="Times New Roman" w:cs="Times New Roman"/>
          <w:b/>
          <w:bCs/>
          <w:sz w:val="28"/>
          <w:szCs w:val="28"/>
          <w:lang w:val="lt-LT"/>
        </w:rPr>
        <w:t xml:space="preserve">AB </w:t>
      </w:r>
      <w:r w:rsidR="0045311B">
        <w:rPr>
          <w:rFonts w:ascii="Times New Roman" w:hAnsi="Times New Roman" w:cs="Times New Roman"/>
          <w:b/>
          <w:bCs/>
          <w:sz w:val="28"/>
          <w:szCs w:val="28"/>
          <w:lang w:val="lt-LT"/>
        </w:rPr>
        <w:t>„</w:t>
      </w:r>
      <w:r w:rsidRPr="00325138">
        <w:rPr>
          <w:rFonts w:ascii="Times New Roman" w:hAnsi="Times New Roman" w:cs="Times New Roman"/>
          <w:b/>
          <w:bCs/>
          <w:sz w:val="28"/>
          <w:szCs w:val="28"/>
          <w:lang w:val="lt-LT"/>
        </w:rPr>
        <w:t>Rokiškio sūris</w:t>
      </w:r>
      <w:r w:rsidR="0045311B">
        <w:rPr>
          <w:rFonts w:ascii="Times New Roman" w:hAnsi="Times New Roman" w:cs="Times New Roman"/>
          <w:b/>
          <w:bCs/>
          <w:sz w:val="28"/>
          <w:szCs w:val="28"/>
          <w:lang w:val="lt-LT"/>
        </w:rPr>
        <w:t>“</w:t>
      </w:r>
      <w:r w:rsidRPr="00325138">
        <w:rPr>
          <w:rFonts w:ascii="Times New Roman" w:hAnsi="Times New Roman" w:cs="Times New Roman"/>
          <w:b/>
          <w:bCs/>
          <w:sz w:val="28"/>
          <w:szCs w:val="28"/>
          <w:lang w:val="lt-LT"/>
        </w:rPr>
        <w:t xml:space="preserve"> eilinio visuotinio akcininkų susirinkimo, įvykusio 2025 m. balandžio 30 d., priimti sprendimai</w:t>
      </w:r>
    </w:p>
    <w:p w14:paraId="041D29D9" w14:textId="77777777" w:rsidR="0058198D" w:rsidRPr="00325138" w:rsidRDefault="0058198D" w:rsidP="00325138">
      <w:pPr>
        <w:spacing w:after="0"/>
        <w:jc w:val="both"/>
        <w:rPr>
          <w:rFonts w:ascii="Times New Roman" w:hAnsi="Times New Roman" w:cs="Times New Roman"/>
          <w:sz w:val="16"/>
          <w:szCs w:val="16"/>
          <w:lang w:val="lt-LT"/>
        </w:rPr>
      </w:pPr>
    </w:p>
    <w:p w14:paraId="080C07E1" w14:textId="3CAD976D" w:rsidR="0058198D" w:rsidRPr="00325138" w:rsidRDefault="0058198D" w:rsidP="00325138">
      <w:pPr>
        <w:spacing w:after="0"/>
        <w:jc w:val="both"/>
        <w:rPr>
          <w:rFonts w:ascii="Times New Roman" w:hAnsi="Times New Roman" w:cs="Times New Roman"/>
          <w:lang w:val="lt-LT"/>
        </w:rPr>
      </w:pPr>
      <w:r w:rsidRPr="00325138">
        <w:rPr>
          <w:rFonts w:ascii="Times New Roman" w:hAnsi="Times New Roman" w:cs="Times New Roman"/>
          <w:lang w:val="lt-LT"/>
        </w:rPr>
        <w:t>2025 m. balandžio 30 d. AB „Rokiškio sūris“ (toliau – Bendrovė) eilinio visuotinio akcininkų susirinkimo priimti sprendimai:</w:t>
      </w:r>
    </w:p>
    <w:p w14:paraId="3E329823" w14:textId="77777777" w:rsidR="0058198D" w:rsidRPr="00325138" w:rsidRDefault="0058198D" w:rsidP="00325138">
      <w:pPr>
        <w:spacing w:after="0"/>
        <w:jc w:val="both"/>
        <w:rPr>
          <w:rFonts w:ascii="Times New Roman" w:hAnsi="Times New Roman" w:cs="Times New Roman"/>
          <w:sz w:val="14"/>
          <w:szCs w:val="14"/>
          <w:lang w:val="lt-LT"/>
        </w:rPr>
      </w:pPr>
    </w:p>
    <w:p w14:paraId="4EC934D1" w14:textId="77777777" w:rsidR="0058198D" w:rsidRPr="00325138" w:rsidRDefault="0058198D" w:rsidP="00325138">
      <w:pPr>
        <w:spacing w:after="0"/>
        <w:jc w:val="both"/>
        <w:rPr>
          <w:rFonts w:ascii="Times New Roman" w:hAnsi="Times New Roman" w:cs="Times New Roman"/>
          <w:b/>
          <w:bCs/>
          <w:lang w:val="lt-LT"/>
        </w:rPr>
      </w:pPr>
      <w:r w:rsidRPr="00325138">
        <w:rPr>
          <w:rFonts w:ascii="Times New Roman" w:hAnsi="Times New Roman" w:cs="Times New Roman"/>
          <w:b/>
          <w:bCs/>
          <w:lang w:val="lt-LT"/>
        </w:rPr>
        <w:t>1. Auditoriaus išvada apie konsoliduotas finansines ataskaitas ir vadovybės ataskaitą.</w:t>
      </w:r>
    </w:p>
    <w:p w14:paraId="506B5B14" w14:textId="6CB139E0" w:rsidR="0058198D" w:rsidRPr="00325138" w:rsidRDefault="0058198D" w:rsidP="00325138">
      <w:pPr>
        <w:spacing w:after="0"/>
        <w:jc w:val="both"/>
        <w:rPr>
          <w:rFonts w:ascii="Times New Roman" w:hAnsi="Times New Roman" w:cs="Times New Roman"/>
          <w:lang w:val="lt-LT"/>
        </w:rPr>
      </w:pPr>
      <w:r w:rsidRPr="00325138">
        <w:rPr>
          <w:rFonts w:ascii="Times New Roman" w:hAnsi="Times New Roman" w:cs="Times New Roman"/>
          <w:lang w:val="lt-LT"/>
        </w:rPr>
        <w:t>Pranešimas išklausytas. (Šiuo darbotvarkės klausimu sprendimas nepriimamas).</w:t>
      </w:r>
    </w:p>
    <w:p w14:paraId="62AFF79D" w14:textId="77777777" w:rsidR="0058198D" w:rsidRPr="00325138" w:rsidRDefault="0058198D" w:rsidP="00325138">
      <w:pPr>
        <w:spacing w:after="0"/>
        <w:jc w:val="both"/>
        <w:rPr>
          <w:rFonts w:ascii="Times New Roman" w:hAnsi="Times New Roman" w:cs="Times New Roman"/>
          <w:sz w:val="14"/>
          <w:szCs w:val="14"/>
          <w:lang w:val="lt-LT"/>
        </w:rPr>
      </w:pPr>
    </w:p>
    <w:p w14:paraId="7D032CA8" w14:textId="77777777" w:rsidR="0058198D" w:rsidRPr="00325138" w:rsidRDefault="0058198D" w:rsidP="00325138">
      <w:pPr>
        <w:spacing w:after="0"/>
        <w:jc w:val="both"/>
        <w:rPr>
          <w:rFonts w:ascii="Times New Roman" w:hAnsi="Times New Roman" w:cs="Times New Roman"/>
          <w:b/>
          <w:bCs/>
          <w:lang w:val="lt-LT"/>
        </w:rPr>
      </w:pPr>
      <w:r w:rsidRPr="00325138">
        <w:rPr>
          <w:rFonts w:ascii="Times New Roman" w:hAnsi="Times New Roman" w:cs="Times New Roman"/>
          <w:b/>
          <w:bCs/>
          <w:lang w:val="lt-LT"/>
        </w:rPr>
        <w:t>2. Audito komiteto išvada.</w:t>
      </w:r>
    </w:p>
    <w:p w14:paraId="3FA80C12" w14:textId="13BB270B" w:rsidR="0058198D" w:rsidRPr="00325138" w:rsidRDefault="0058198D" w:rsidP="00325138">
      <w:pPr>
        <w:spacing w:after="0"/>
        <w:jc w:val="both"/>
        <w:rPr>
          <w:rFonts w:ascii="Times New Roman" w:hAnsi="Times New Roman" w:cs="Times New Roman"/>
          <w:lang w:val="lt-LT"/>
        </w:rPr>
      </w:pPr>
      <w:r w:rsidRPr="00325138">
        <w:rPr>
          <w:rFonts w:ascii="Times New Roman" w:hAnsi="Times New Roman" w:cs="Times New Roman"/>
          <w:lang w:val="lt-LT"/>
        </w:rPr>
        <w:t>Pritarta Audito komiteto išvadai.(Pridedama)</w:t>
      </w:r>
    </w:p>
    <w:p w14:paraId="3533CBEB" w14:textId="77777777" w:rsidR="0058198D" w:rsidRPr="00325138" w:rsidRDefault="0058198D" w:rsidP="00325138">
      <w:pPr>
        <w:spacing w:after="0"/>
        <w:jc w:val="both"/>
        <w:rPr>
          <w:rFonts w:ascii="Times New Roman" w:hAnsi="Times New Roman" w:cs="Times New Roman"/>
          <w:sz w:val="14"/>
          <w:szCs w:val="14"/>
          <w:lang w:val="lt-LT"/>
        </w:rPr>
      </w:pPr>
    </w:p>
    <w:p w14:paraId="6D8036B1" w14:textId="419EA01E" w:rsidR="0058198D" w:rsidRPr="00325138" w:rsidRDefault="0058198D" w:rsidP="00325138">
      <w:pPr>
        <w:spacing w:after="0"/>
        <w:jc w:val="both"/>
        <w:rPr>
          <w:rFonts w:ascii="Times New Roman" w:hAnsi="Times New Roman" w:cs="Times New Roman"/>
          <w:b/>
          <w:bCs/>
          <w:lang w:val="lt-LT"/>
        </w:rPr>
      </w:pPr>
      <w:r w:rsidRPr="00325138">
        <w:rPr>
          <w:rFonts w:ascii="Times New Roman" w:hAnsi="Times New Roman" w:cs="Times New Roman"/>
          <w:b/>
          <w:bCs/>
          <w:lang w:val="lt-LT"/>
        </w:rPr>
        <w:t>3. Bendrovės 2024 m. konsoliduotoji vadovybės ataskaita.</w:t>
      </w:r>
    </w:p>
    <w:p w14:paraId="3F1CF9FD" w14:textId="7E713BC9" w:rsidR="0058198D" w:rsidRPr="00325138" w:rsidRDefault="0058198D" w:rsidP="00325138">
      <w:pPr>
        <w:spacing w:after="0"/>
        <w:jc w:val="both"/>
        <w:rPr>
          <w:rFonts w:ascii="Times New Roman" w:hAnsi="Times New Roman" w:cs="Times New Roman"/>
          <w:lang w:val="lt-LT"/>
        </w:rPr>
      </w:pPr>
      <w:r w:rsidRPr="00325138">
        <w:rPr>
          <w:rFonts w:ascii="Times New Roman" w:hAnsi="Times New Roman" w:cs="Times New Roman"/>
          <w:lang w:val="lt-LT"/>
        </w:rPr>
        <w:t>Pristatyta Bendrovės parengta, auditorių įvertinta ir valdybos patvirtinta 2024 m. Bendrovės</w:t>
      </w:r>
      <w:r w:rsidR="00325138">
        <w:rPr>
          <w:rFonts w:ascii="Times New Roman" w:hAnsi="Times New Roman" w:cs="Times New Roman"/>
          <w:lang w:val="lt-LT"/>
        </w:rPr>
        <w:t xml:space="preserve"> </w:t>
      </w:r>
      <w:r w:rsidRPr="00325138">
        <w:rPr>
          <w:rFonts w:ascii="Times New Roman" w:hAnsi="Times New Roman" w:cs="Times New Roman"/>
          <w:lang w:val="lt-LT"/>
        </w:rPr>
        <w:t>konsoliduota vadovybės ataskaita. (Šiuo darbotvarkės klausimu sprendimas nepriimamas).</w:t>
      </w:r>
    </w:p>
    <w:p w14:paraId="73F4CA0E" w14:textId="77777777" w:rsidR="0058198D" w:rsidRPr="00325138" w:rsidRDefault="0058198D" w:rsidP="00325138">
      <w:pPr>
        <w:spacing w:after="0"/>
        <w:jc w:val="both"/>
        <w:rPr>
          <w:rFonts w:ascii="Times New Roman" w:hAnsi="Times New Roman" w:cs="Times New Roman"/>
          <w:sz w:val="14"/>
          <w:szCs w:val="14"/>
          <w:lang w:val="lt-LT"/>
        </w:rPr>
      </w:pPr>
    </w:p>
    <w:p w14:paraId="2F8A94AD" w14:textId="6930A0CD" w:rsidR="0058198D" w:rsidRPr="00325138" w:rsidRDefault="0058198D" w:rsidP="00325138">
      <w:pPr>
        <w:spacing w:after="0"/>
        <w:jc w:val="both"/>
        <w:rPr>
          <w:rFonts w:ascii="Times New Roman" w:hAnsi="Times New Roman" w:cs="Times New Roman"/>
          <w:b/>
          <w:bCs/>
          <w:lang w:val="lt-LT"/>
        </w:rPr>
      </w:pPr>
      <w:r w:rsidRPr="00325138">
        <w:rPr>
          <w:rFonts w:ascii="Times New Roman" w:hAnsi="Times New Roman" w:cs="Times New Roman"/>
          <w:b/>
          <w:bCs/>
          <w:lang w:val="lt-LT"/>
        </w:rPr>
        <w:t>4. Konsoliduotų ir Bendrovės 2024 m. finansinių ataskaitų rinkinio tvirtinimas.</w:t>
      </w:r>
    </w:p>
    <w:p w14:paraId="272E20BD" w14:textId="60FC2B5C" w:rsidR="0058198D" w:rsidRPr="00325138" w:rsidRDefault="0058198D" w:rsidP="00325138">
      <w:pPr>
        <w:spacing w:after="0"/>
        <w:jc w:val="both"/>
        <w:rPr>
          <w:rFonts w:ascii="Times New Roman" w:hAnsi="Times New Roman" w:cs="Times New Roman"/>
          <w:lang w:val="lt-LT"/>
        </w:rPr>
      </w:pPr>
      <w:r w:rsidRPr="00325138">
        <w:rPr>
          <w:rFonts w:ascii="Times New Roman" w:hAnsi="Times New Roman" w:cs="Times New Roman"/>
          <w:lang w:val="lt-LT"/>
        </w:rPr>
        <w:t>Patvirtintos audituotos 2024 metų konsoliduotos ir Bendrovės finansinės ataskaitos.(Pridedama)</w:t>
      </w:r>
    </w:p>
    <w:p w14:paraId="25BA29B6" w14:textId="77777777" w:rsidR="0040293C" w:rsidRPr="00325138" w:rsidRDefault="0040293C" w:rsidP="00325138">
      <w:pPr>
        <w:spacing w:after="0"/>
        <w:jc w:val="both"/>
        <w:rPr>
          <w:rFonts w:ascii="Times New Roman" w:hAnsi="Times New Roman" w:cs="Times New Roman"/>
          <w:sz w:val="14"/>
          <w:szCs w:val="14"/>
          <w:lang w:val="lt-LT"/>
        </w:rPr>
      </w:pPr>
    </w:p>
    <w:p w14:paraId="0EA3B82B" w14:textId="15789859" w:rsidR="0040293C" w:rsidRPr="00325138" w:rsidRDefault="0040293C" w:rsidP="00325138">
      <w:pPr>
        <w:spacing w:after="0"/>
        <w:jc w:val="both"/>
        <w:rPr>
          <w:rFonts w:ascii="Times New Roman" w:hAnsi="Times New Roman" w:cs="Times New Roman"/>
          <w:b/>
          <w:bCs/>
          <w:lang w:val="lt-LT"/>
        </w:rPr>
      </w:pPr>
      <w:r w:rsidRPr="00325138">
        <w:rPr>
          <w:rFonts w:ascii="Times New Roman" w:hAnsi="Times New Roman" w:cs="Times New Roman"/>
          <w:b/>
          <w:bCs/>
          <w:lang w:val="lt-LT"/>
        </w:rPr>
        <w:t>5. Bendrovės 2024 m. pelno paskirstymo tvirtinimas.</w:t>
      </w:r>
    </w:p>
    <w:p w14:paraId="1C84CCE7" w14:textId="37BFA0A0"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Patvirtintas 2024 m. pelno paskirstymas:</w:t>
      </w:r>
    </w:p>
    <w:p w14:paraId="6460AF9E" w14:textId="77777777" w:rsidR="00325138" w:rsidRPr="00325138" w:rsidRDefault="00325138" w:rsidP="00325138">
      <w:pPr>
        <w:spacing w:after="0"/>
        <w:jc w:val="both"/>
        <w:rPr>
          <w:rFonts w:ascii="Times New Roman" w:hAnsi="Times New Roman" w:cs="Times New Roman"/>
          <w:sz w:val="12"/>
          <w:szCs w:val="12"/>
          <w:lang w:val="lt-LT"/>
        </w:rPr>
      </w:pPr>
    </w:p>
    <w:tbl>
      <w:tblPr>
        <w:tblpPr w:leftFromText="180" w:rightFromText="180" w:vertAnchor="text" w:horzAnchor="margin" w:tblpY="-7"/>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416"/>
        <w:gridCol w:w="1936"/>
      </w:tblGrid>
      <w:tr w:rsidR="0040293C" w:rsidRPr="00325138" w14:paraId="517692BD" w14:textId="77777777" w:rsidTr="0045311B">
        <w:trPr>
          <w:trHeight w:val="390"/>
        </w:trPr>
        <w:tc>
          <w:tcPr>
            <w:tcW w:w="640" w:type="dxa"/>
          </w:tcPr>
          <w:p w14:paraId="1165772A" w14:textId="77777777" w:rsidR="0040293C" w:rsidRPr="00325138" w:rsidRDefault="0040293C" w:rsidP="00325138">
            <w:pPr>
              <w:spacing w:after="0"/>
              <w:jc w:val="both"/>
              <w:rPr>
                <w:rFonts w:ascii="Times New Roman" w:hAnsi="Times New Roman" w:cs="Times New Roman"/>
                <w:highlight w:val="yellow"/>
                <w:lang w:val="lt-LT"/>
              </w:rPr>
            </w:pPr>
          </w:p>
        </w:tc>
        <w:tc>
          <w:tcPr>
            <w:tcW w:w="7416" w:type="dxa"/>
          </w:tcPr>
          <w:p w14:paraId="7C994ABD"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Pavadinimas</w:t>
            </w:r>
          </w:p>
        </w:tc>
        <w:tc>
          <w:tcPr>
            <w:tcW w:w="1936" w:type="dxa"/>
          </w:tcPr>
          <w:p w14:paraId="1FD5359D"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tūkst. EUR</w:t>
            </w:r>
          </w:p>
        </w:tc>
      </w:tr>
      <w:tr w:rsidR="0040293C" w:rsidRPr="00325138" w14:paraId="2C9F865B" w14:textId="77777777" w:rsidTr="0045311B">
        <w:trPr>
          <w:trHeight w:val="525"/>
        </w:trPr>
        <w:tc>
          <w:tcPr>
            <w:tcW w:w="640" w:type="dxa"/>
          </w:tcPr>
          <w:p w14:paraId="4CE83A2C"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1.</w:t>
            </w:r>
          </w:p>
        </w:tc>
        <w:tc>
          <w:tcPr>
            <w:tcW w:w="7416" w:type="dxa"/>
          </w:tcPr>
          <w:p w14:paraId="040C77D7"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 xml:space="preserve">Nepaskirstytasis Bendrovės pelnas ataskaitinių </w:t>
            </w:r>
          </w:p>
          <w:p w14:paraId="6D5E1C04"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 xml:space="preserve">metų pradžioje   </w:t>
            </w:r>
            <w:r w:rsidRPr="00325138">
              <w:rPr>
                <w:rFonts w:ascii="Times New Roman" w:hAnsi="Times New Roman" w:cs="Times New Roman"/>
                <w:lang w:val="lt-LT"/>
              </w:rPr>
              <w:tab/>
            </w:r>
          </w:p>
        </w:tc>
        <w:tc>
          <w:tcPr>
            <w:tcW w:w="1936" w:type="dxa"/>
          </w:tcPr>
          <w:p w14:paraId="4E65A609"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82 169</w:t>
            </w:r>
          </w:p>
        </w:tc>
      </w:tr>
      <w:tr w:rsidR="0040293C" w:rsidRPr="00325138" w14:paraId="5CFCBE42" w14:textId="77777777" w:rsidTr="0045311B">
        <w:trPr>
          <w:trHeight w:val="284"/>
        </w:trPr>
        <w:tc>
          <w:tcPr>
            <w:tcW w:w="640" w:type="dxa"/>
          </w:tcPr>
          <w:p w14:paraId="7EF217CA"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2.</w:t>
            </w:r>
          </w:p>
        </w:tc>
        <w:tc>
          <w:tcPr>
            <w:tcW w:w="7416" w:type="dxa"/>
          </w:tcPr>
          <w:p w14:paraId="28878C35"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Akcininkų patvirtinti dividendai už 2023 metus</w:t>
            </w:r>
          </w:p>
        </w:tc>
        <w:tc>
          <w:tcPr>
            <w:tcW w:w="1936" w:type="dxa"/>
          </w:tcPr>
          <w:p w14:paraId="731A8F6A"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(5 251)</w:t>
            </w:r>
          </w:p>
        </w:tc>
      </w:tr>
      <w:tr w:rsidR="0040293C" w:rsidRPr="00325138" w14:paraId="526C5031" w14:textId="77777777" w:rsidTr="0045311B">
        <w:trPr>
          <w:trHeight w:val="298"/>
        </w:trPr>
        <w:tc>
          <w:tcPr>
            <w:tcW w:w="640" w:type="dxa"/>
          </w:tcPr>
          <w:p w14:paraId="671BC16A"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3.</w:t>
            </w:r>
          </w:p>
        </w:tc>
        <w:tc>
          <w:tcPr>
            <w:tcW w:w="7416" w:type="dxa"/>
          </w:tcPr>
          <w:p w14:paraId="2ED7FEBD"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Pervesta į rezervą nuosavoms akcijoms įsigyti</w:t>
            </w:r>
          </w:p>
        </w:tc>
        <w:tc>
          <w:tcPr>
            <w:tcW w:w="1936" w:type="dxa"/>
          </w:tcPr>
          <w:p w14:paraId="2F545C79"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(6 300)</w:t>
            </w:r>
          </w:p>
        </w:tc>
      </w:tr>
      <w:tr w:rsidR="0040293C" w:rsidRPr="00325138" w14:paraId="602F1F02" w14:textId="77777777" w:rsidTr="0045311B">
        <w:trPr>
          <w:trHeight w:val="298"/>
        </w:trPr>
        <w:tc>
          <w:tcPr>
            <w:tcW w:w="640" w:type="dxa"/>
          </w:tcPr>
          <w:p w14:paraId="204D5785"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4.</w:t>
            </w:r>
          </w:p>
        </w:tc>
        <w:tc>
          <w:tcPr>
            <w:tcW w:w="7416" w:type="dxa"/>
          </w:tcPr>
          <w:p w14:paraId="52235C7C"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Paskirta metinėms išmokoms (tantjemoms) už 2023 metus</w:t>
            </w:r>
          </w:p>
        </w:tc>
        <w:tc>
          <w:tcPr>
            <w:tcW w:w="1936" w:type="dxa"/>
          </w:tcPr>
          <w:p w14:paraId="319FF2B7"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(33)</w:t>
            </w:r>
          </w:p>
        </w:tc>
      </w:tr>
      <w:tr w:rsidR="0040293C" w:rsidRPr="00325138" w14:paraId="65FD8987" w14:textId="77777777" w:rsidTr="0045311B">
        <w:trPr>
          <w:trHeight w:val="766"/>
        </w:trPr>
        <w:tc>
          <w:tcPr>
            <w:tcW w:w="640" w:type="dxa"/>
          </w:tcPr>
          <w:p w14:paraId="0AC58957"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5.</w:t>
            </w:r>
          </w:p>
        </w:tc>
        <w:tc>
          <w:tcPr>
            <w:tcW w:w="7416" w:type="dxa"/>
          </w:tcPr>
          <w:p w14:paraId="57327A83"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 xml:space="preserve">Nepaskirstytasis pelnas (nuostoliai) ataskaitinių </w:t>
            </w:r>
          </w:p>
          <w:p w14:paraId="4692DE5D"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 xml:space="preserve">metų pradžioje po dividendų išmokėjimo ir pervedimo į rezervus   </w:t>
            </w:r>
            <w:r w:rsidRPr="00325138">
              <w:rPr>
                <w:rFonts w:ascii="Times New Roman" w:hAnsi="Times New Roman" w:cs="Times New Roman"/>
                <w:lang w:val="lt-LT"/>
              </w:rPr>
              <w:tab/>
            </w:r>
            <w:r w:rsidRPr="00325138">
              <w:rPr>
                <w:rFonts w:ascii="Times New Roman" w:hAnsi="Times New Roman" w:cs="Times New Roman"/>
                <w:lang w:val="lt-LT"/>
              </w:rPr>
              <w:tab/>
              <w:t xml:space="preserve">     </w:t>
            </w:r>
          </w:p>
        </w:tc>
        <w:tc>
          <w:tcPr>
            <w:tcW w:w="1936" w:type="dxa"/>
          </w:tcPr>
          <w:p w14:paraId="0B696969"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70 585</w:t>
            </w:r>
          </w:p>
        </w:tc>
      </w:tr>
      <w:tr w:rsidR="0040293C" w:rsidRPr="00325138" w14:paraId="618A1AE5" w14:textId="77777777" w:rsidTr="0045311B">
        <w:trPr>
          <w:trHeight w:val="298"/>
        </w:trPr>
        <w:tc>
          <w:tcPr>
            <w:tcW w:w="640" w:type="dxa"/>
          </w:tcPr>
          <w:p w14:paraId="4A91FC93"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6.</w:t>
            </w:r>
          </w:p>
        </w:tc>
        <w:tc>
          <w:tcPr>
            <w:tcW w:w="7416" w:type="dxa"/>
          </w:tcPr>
          <w:p w14:paraId="5D9368E5"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 xml:space="preserve">Grynasis Bendrovės ataskaitinių metų pelnas/(nuostolis) </w:t>
            </w:r>
          </w:p>
        </w:tc>
        <w:tc>
          <w:tcPr>
            <w:tcW w:w="1936" w:type="dxa"/>
          </w:tcPr>
          <w:p w14:paraId="7B2BFCB1"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21 302</w:t>
            </w:r>
          </w:p>
        </w:tc>
      </w:tr>
      <w:tr w:rsidR="0040293C" w:rsidRPr="00325138" w14:paraId="61C9DA9E" w14:textId="77777777" w:rsidTr="0045311B">
        <w:trPr>
          <w:trHeight w:val="298"/>
        </w:trPr>
        <w:tc>
          <w:tcPr>
            <w:tcW w:w="640" w:type="dxa"/>
          </w:tcPr>
          <w:p w14:paraId="0A36A221"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7.</w:t>
            </w:r>
          </w:p>
        </w:tc>
        <w:tc>
          <w:tcPr>
            <w:tcW w:w="7416" w:type="dxa"/>
          </w:tcPr>
          <w:p w14:paraId="6CF684C8"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Paskirstytinasis Bendrovės pelnas iš viso</w:t>
            </w:r>
          </w:p>
        </w:tc>
        <w:tc>
          <w:tcPr>
            <w:tcW w:w="1936" w:type="dxa"/>
          </w:tcPr>
          <w:p w14:paraId="4850E0B8"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91 887</w:t>
            </w:r>
          </w:p>
        </w:tc>
      </w:tr>
      <w:tr w:rsidR="0040293C" w:rsidRPr="00325138" w14:paraId="4DAB4D34" w14:textId="77777777" w:rsidTr="0045311B">
        <w:trPr>
          <w:trHeight w:val="298"/>
        </w:trPr>
        <w:tc>
          <w:tcPr>
            <w:tcW w:w="640" w:type="dxa"/>
          </w:tcPr>
          <w:p w14:paraId="17D4CF32"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8.</w:t>
            </w:r>
          </w:p>
        </w:tc>
        <w:tc>
          <w:tcPr>
            <w:tcW w:w="7416" w:type="dxa"/>
          </w:tcPr>
          <w:p w14:paraId="5A1D64F0"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Pelno dalis, paskirta į privalomąjį rezervą</w:t>
            </w:r>
          </w:p>
        </w:tc>
        <w:tc>
          <w:tcPr>
            <w:tcW w:w="1936" w:type="dxa"/>
          </w:tcPr>
          <w:p w14:paraId="34B638BC"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w:t>
            </w:r>
          </w:p>
        </w:tc>
      </w:tr>
      <w:tr w:rsidR="0040293C" w:rsidRPr="00325138" w14:paraId="3FFE1CE1" w14:textId="77777777" w:rsidTr="0045311B">
        <w:trPr>
          <w:trHeight w:val="298"/>
        </w:trPr>
        <w:tc>
          <w:tcPr>
            <w:tcW w:w="640" w:type="dxa"/>
          </w:tcPr>
          <w:p w14:paraId="3FBD939D"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9.</w:t>
            </w:r>
          </w:p>
        </w:tc>
        <w:tc>
          <w:tcPr>
            <w:tcW w:w="7416" w:type="dxa"/>
          </w:tcPr>
          <w:p w14:paraId="66D4D210"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Pelno dalis, paskirta į kitus rezervus</w:t>
            </w:r>
          </w:p>
        </w:tc>
        <w:tc>
          <w:tcPr>
            <w:tcW w:w="1936" w:type="dxa"/>
          </w:tcPr>
          <w:p w14:paraId="0D8B9C76"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w:t>
            </w:r>
          </w:p>
        </w:tc>
      </w:tr>
      <w:tr w:rsidR="0040293C" w:rsidRPr="00325138" w14:paraId="5366A220" w14:textId="77777777" w:rsidTr="0045311B">
        <w:trPr>
          <w:trHeight w:val="298"/>
        </w:trPr>
        <w:tc>
          <w:tcPr>
            <w:tcW w:w="640" w:type="dxa"/>
          </w:tcPr>
          <w:p w14:paraId="12A6BE8E"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10.</w:t>
            </w:r>
          </w:p>
        </w:tc>
        <w:tc>
          <w:tcPr>
            <w:tcW w:w="7416" w:type="dxa"/>
          </w:tcPr>
          <w:p w14:paraId="21E906C2" w14:textId="77777777" w:rsidR="0040293C" w:rsidRPr="00325138" w:rsidRDefault="0040293C" w:rsidP="00325138">
            <w:pPr>
              <w:spacing w:after="0" w:line="240" w:lineRule="auto"/>
              <w:jc w:val="both"/>
              <w:rPr>
                <w:rFonts w:ascii="Times New Roman" w:hAnsi="Times New Roman" w:cs="Times New Roman"/>
                <w:vertAlign w:val="superscript"/>
                <w:lang w:val="lt-LT"/>
              </w:rPr>
            </w:pPr>
            <w:r w:rsidRPr="00325138">
              <w:rPr>
                <w:rFonts w:ascii="Times New Roman" w:hAnsi="Times New Roman" w:cs="Times New Roman"/>
                <w:lang w:val="lt-LT"/>
              </w:rPr>
              <w:t>Pelno dalis, paskirta dividendams išmokėti*</w:t>
            </w:r>
          </w:p>
        </w:tc>
        <w:tc>
          <w:tcPr>
            <w:tcW w:w="1936" w:type="dxa"/>
          </w:tcPr>
          <w:p w14:paraId="03B50AA9"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(6 283)</w:t>
            </w:r>
          </w:p>
        </w:tc>
      </w:tr>
      <w:tr w:rsidR="0040293C" w:rsidRPr="00325138" w14:paraId="23EA2E8D" w14:textId="77777777" w:rsidTr="0045311B">
        <w:trPr>
          <w:trHeight w:val="781"/>
        </w:trPr>
        <w:tc>
          <w:tcPr>
            <w:tcW w:w="640" w:type="dxa"/>
          </w:tcPr>
          <w:p w14:paraId="23669053" w14:textId="77777777" w:rsidR="0040293C" w:rsidRPr="00325138" w:rsidRDefault="0040293C" w:rsidP="00325138">
            <w:pPr>
              <w:spacing w:after="0"/>
              <w:jc w:val="both"/>
              <w:rPr>
                <w:rFonts w:ascii="Times New Roman" w:hAnsi="Times New Roman" w:cs="Times New Roman"/>
                <w:i/>
                <w:color w:val="292526"/>
                <w:lang w:val="lt-LT"/>
              </w:rPr>
            </w:pPr>
            <w:r w:rsidRPr="00325138">
              <w:rPr>
                <w:rFonts w:ascii="Times New Roman" w:hAnsi="Times New Roman" w:cs="Times New Roman"/>
                <w:i/>
                <w:color w:val="292526"/>
                <w:lang w:val="lt-LT"/>
              </w:rPr>
              <w:t>11.</w:t>
            </w:r>
          </w:p>
        </w:tc>
        <w:tc>
          <w:tcPr>
            <w:tcW w:w="7416" w:type="dxa"/>
          </w:tcPr>
          <w:p w14:paraId="30BB8CCE" w14:textId="77777777" w:rsidR="0040293C" w:rsidRPr="00325138" w:rsidRDefault="0040293C" w:rsidP="00325138">
            <w:pPr>
              <w:spacing w:after="0" w:line="240" w:lineRule="auto"/>
              <w:jc w:val="both"/>
              <w:rPr>
                <w:rFonts w:ascii="Times New Roman" w:hAnsi="Times New Roman" w:cs="Times New Roman"/>
                <w:i/>
                <w:lang w:val="lt-LT"/>
              </w:rPr>
            </w:pPr>
            <w:r w:rsidRPr="00325138">
              <w:rPr>
                <w:rFonts w:ascii="Times New Roman" w:hAnsi="Times New Roman" w:cs="Times New Roman"/>
                <w:i/>
                <w:lang w:val="lt-LT"/>
              </w:rPr>
              <w:t xml:space="preserve">Pelno dalis, paskirta metinėms išmokoms (tantjemoms) valdybos nariams, darbuotojų premijoms ir kt. tikslams, apskaityta  Pelno (nuostolių) ataskaitoje      </w:t>
            </w:r>
          </w:p>
        </w:tc>
        <w:tc>
          <w:tcPr>
            <w:tcW w:w="1936" w:type="dxa"/>
          </w:tcPr>
          <w:p w14:paraId="26158DB5" w14:textId="77777777" w:rsidR="0040293C" w:rsidRPr="00325138" w:rsidRDefault="0040293C" w:rsidP="00325138">
            <w:pPr>
              <w:spacing w:after="0"/>
              <w:jc w:val="both"/>
              <w:rPr>
                <w:rFonts w:ascii="Times New Roman" w:hAnsi="Times New Roman" w:cs="Times New Roman"/>
                <w:i/>
                <w:lang w:val="lt-LT"/>
              </w:rPr>
            </w:pPr>
            <w:r w:rsidRPr="00325138">
              <w:rPr>
                <w:rFonts w:ascii="Times New Roman" w:hAnsi="Times New Roman" w:cs="Times New Roman"/>
                <w:i/>
                <w:lang w:val="lt-LT"/>
              </w:rPr>
              <w:t>(45)</w:t>
            </w:r>
          </w:p>
        </w:tc>
      </w:tr>
      <w:tr w:rsidR="0040293C" w:rsidRPr="00325138" w14:paraId="25F556DE" w14:textId="77777777" w:rsidTr="0045311B">
        <w:trPr>
          <w:trHeight w:val="571"/>
        </w:trPr>
        <w:tc>
          <w:tcPr>
            <w:tcW w:w="640" w:type="dxa"/>
          </w:tcPr>
          <w:p w14:paraId="6A0889DF"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12.</w:t>
            </w:r>
          </w:p>
        </w:tc>
        <w:tc>
          <w:tcPr>
            <w:tcW w:w="7416" w:type="dxa"/>
          </w:tcPr>
          <w:p w14:paraId="649E281F" w14:textId="77777777" w:rsidR="0040293C" w:rsidRPr="00325138" w:rsidRDefault="0040293C" w:rsidP="00325138">
            <w:pPr>
              <w:spacing w:after="0" w:line="240" w:lineRule="auto"/>
              <w:jc w:val="both"/>
              <w:rPr>
                <w:rFonts w:ascii="Times New Roman" w:hAnsi="Times New Roman" w:cs="Times New Roman"/>
                <w:lang w:val="lt-LT"/>
              </w:rPr>
            </w:pPr>
            <w:r w:rsidRPr="00325138">
              <w:rPr>
                <w:rFonts w:ascii="Times New Roman" w:hAnsi="Times New Roman" w:cs="Times New Roman"/>
                <w:lang w:val="lt-LT"/>
              </w:rPr>
              <w:t>Nepaskirstytasis pelnas (nuostoliai) ataskaitinių finansinių metų pabaigoje, perkeliamas į kitus finansinius metus</w:t>
            </w:r>
          </w:p>
        </w:tc>
        <w:tc>
          <w:tcPr>
            <w:tcW w:w="1936" w:type="dxa"/>
          </w:tcPr>
          <w:p w14:paraId="22760D9F" w14:textId="77777777" w:rsidR="0040293C" w:rsidRPr="00325138" w:rsidRDefault="0040293C" w:rsidP="00325138">
            <w:pPr>
              <w:spacing w:after="0"/>
              <w:jc w:val="both"/>
              <w:rPr>
                <w:rFonts w:ascii="Times New Roman" w:hAnsi="Times New Roman" w:cs="Times New Roman"/>
                <w:lang w:val="lt-LT"/>
              </w:rPr>
            </w:pPr>
            <w:r w:rsidRPr="00325138">
              <w:rPr>
                <w:rFonts w:ascii="Times New Roman" w:hAnsi="Times New Roman" w:cs="Times New Roman"/>
                <w:lang w:val="lt-LT"/>
              </w:rPr>
              <w:t>85 559</w:t>
            </w:r>
          </w:p>
        </w:tc>
      </w:tr>
    </w:tbl>
    <w:p w14:paraId="2E1DCC23" w14:textId="598F81E5" w:rsidR="0040293C" w:rsidRPr="0045311B" w:rsidRDefault="0040293C" w:rsidP="00325138">
      <w:pPr>
        <w:spacing w:after="0"/>
        <w:ind w:right="43"/>
        <w:jc w:val="both"/>
        <w:rPr>
          <w:rFonts w:ascii="Times New Roman" w:hAnsi="Times New Roman" w:cs="Times New Roman"/>
          <w:bCs/>
          <w:i/>
          <w:iCs/>
          <w:sz w:val="22"/>
          <w:szCs w:val="22"/>
          <w:lang w:val="lt-LT"/>
        </w:rPr>
      </w:pPr>
      <w:r w:rsidRPr="0045311B">
        <w:rPr>
          <w:rFonts w:ascii="Times New Roman" w:hAnsi="Times New Roman" w:cs="Times New Roman"/>
          <w:bCs/>
          <w:i/>
          <w:iCs/>
          <w:sz w:val="22"/>
          <w:szCs w:val="22"/>
          <w:lang w:val="lt-LT"/>
        </w:rPr>
        <w:t>* vienai paprastajai vardinei akcijai skiriama 0,2 EUR. Viso dividendams paskirti 6 283 980 EUR.</w:t>
      </w:r>
    </w:p>
    <w:p w14:paraId="205A0006" w14:textId="77777777" w:rsidR="0040293C" w:rsidRPr="00325138" w:rsidRDefault="0040293C" w:rsidP="00325138">
      <w:pPr>
        <w:spacing w:after="0"/>
        <w:ind w:right="43"/>
        <w:jc w:val="both"/>
        <w:rPr>
          <w:rFonts w:ascii="Times New Roman" w:hAnsi="Times New Roman" w:cs="Times New Roman"/>
          <w:bCs/>
          <w:lang w:val="lt-LT"/>
        </w:rPr>
      </w:pPr>
    </w:p>
    <w:p w14:paraId="501BB70D" w14:textId="4A0666FD" w:rsidR="0040293C" w:rsidRPr="00325138" w:rsidRDefault="0040293C" w:rsidP="00325138">
      <w:pPr>
        <w:spacing w:after="0"/>
        <w:ind w:right="45"/>
        <w:jc w:val="both"/>
        <w:rPr>
          <w:rFonts w:ascii="Times New Roman" w:hAnsi="Times New Roman" w:cs="Times New Roman"/>
          <w:bCs/>
          <w:lang w:val="lt-LT"/>
        </w:rPr>
      </w:pPr>
      <w:r w:rsidRPr="00325138">
        <w:rPr>
          <w:rFonts w:ascii="Times New Roman" w:hAnsi="Times New Roman" w:cs="Times New Roman"/>
          <w:bCs/>
          <w:lang w:val="lt-LT"/>
        </w:rPr>
        <w:lastRenderedPageBreak/>
        <w:t>Dividendus turi teisę gauti tie asmenys, kurie bus Bendrovės akcininkais dešimtos darbo dienos po sprendimą dėl dividendų mokėjimo priėmusio visuotinio akcininkų susirinkimo (teisių apskaitos dienos) pabaigoje, t.y. 2025 m. gegužės 15 d.</w:t>
      </w:r>
    </w:p>
    <w:p w14:paraId="77E0846B" w14:textId="77777777" w:rsidR="0040293C" w:rsidRPr="00325138" w:rsidRDefault="0040293C" w:rsidP="00325138">
      <w:pPr>
        <w:spacing w:after="0"/>
        <w:ind w:right="45"/>
        <w:jc w:val="both"/>
        <w:rPr>
          <w:rFonts w:ascii="Times New Roman" w:hAnsi="Times New Roman" w:cs="Times New Roman"/>
          <w:bCs/>
          <w:sz w:val="8"/>
          <w:szCs w:val="8"/>
          <w:lang w:val="lt-LT"/>
        </w:rPr>
      </w:pPr>
    </w:p>
    <w:p w14:paraId="395E5C22" w14:textId="77777777"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
          <w:bCs/>
          <w:lang w:val="lt-LT"/>
        </w:rPr>
        <w:t>6. Dėl pritarimo Bendrovės atlygio ataskaitai.</w:t>
      </w:r>
    </w:p>
    <w:p w14:paraId="74015400" w14:textId="0F940F3C"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Pritarta bendrovės atlygio ataskaitai, kuri yra AB „Rokiškio sūris“ 2024 m. vadovybės ataskaitos dalis.(Pridedama)</w:t>
      </w:r>
    </w:p>
    <w:p w14:paraId="394AFE44" w14:textId="77777777" w:rsidR="0040293C" w:rsidRPr="00325138" w:rsidRDefault="0040293C" w:rsidP="00325138">
      <w:pPr>
        <w:spacing w:after="0"/>
        <w:ind w:right="43"/>
        <w:jc w:val="both"/>
        <w:rPr>
          <w:rFonts w:ascii="Times New Roman" w:hAnsi="Times New Roman" w:cs="Times New Roman"/>
          <w:bCs/>
          <w:sz w:val="8"/>
          <w:szCs w:val="8"/>
          <w:lang w:val="lt-LT"/>
        </w:rPr>
      </w:pPr>
    </w:p>
    <w:p w14:paraId="7128DA8B" w14:textId="393820B1"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
          <w:bCs/>
          <w:lang w:val="lt-LT"/>
        </w:rPr>
        <w:t>7. Dėl bendrovės savų akcijų supirkimo.</w:t>
      </w:r>
    </w:p>
    <w:p w14:paraId="4754EF52" w14:textId="77777777"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Įsigyti Bendrovei savų akcijų šiomis sąlygomis:</w:t>
      </w:r>
    </w:p>
    <w:p w14:paraId="541504A1" w14:textId="77777777"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7.1. Savų akcijų įsigijimo tikslas – palaikyti ir didinti bendrovės akcijų kainą;</w:t>
      </w:r>
    </w:p>
    <w:p w14:paraId="2ABE29CE" w14:textId="0F8853B0"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7.2. Maksimalus leidžiamų įsigyti akcijų skaičius – bendra Bendrovei priklausančių savų akcijų</w:t>
      </w:r>
      <w:r w:rsidR="00325138">
        <w:rPr>
          <w:rFonts w:ascii="Times New Roman" w:hAnsi="Times New Roman" w:cs="Times New Roman"/>
          <w:bCs/>
          <w:lang w:val="lt-LT"/>
        </w:rPr>
        <w:t xml:space="preserve"> </w:t>
      </w:r>
      <w:r w:rsidRPr="00325138">
        <w:rPr>
          <w:rFonts w:ascii="Times New Roman" w:hAnsi="Times New Roman" w:cs="Times New Roman"/>
          <w:bCs/>
          <w:lang w:val="lt-LT"/>
        </w:rPr>
        <w:t>nominali</w:t>
      </w:r>
      <w:r w:rsidR="00325138">
        <w:rPr>
          <w:rFonts w:ascii="Times New Roman" w:hAnsi="Times New Roman" w:cs="Times New Roman"/>
          <w:bCs/>
          <w:lang w:val="lt-LT"/>
        </w:rPr>
        <w:t xml:space="preserve"> </w:t>
      </w:r>
      <w:r w:rsidRPr="00325138">
        <w:rPr>
          <w:rFonts w:ascii="Times New Roman" w:hAnsi="Times New Roman" w:cs="Times New Roman"/>
          <w:bCs/>
          <w:lang w:val="lt-LT"/>
        </w:rPr>
        <w:t>vertė kartu su kitų jau turimų savų akcijų nominalia verte negali būti didesnė kaip 1/10</w:t>
      </w:r>
      <w:r w:rsidR="00325138">
        <w:rPr>
          <w:rFonts w:ascii="Times New Roman" w:hAnsi="Times New Roman" w:cs="Times New Roman"/>
          <w:bCs/>
          <w:lang w:val="lt-LT"/>
        </w:rPr>
        <w:t xml:space="preserve"> </w:t>
      </w:r>
      <w:r w:rsidRPr="00325138">
        <w:rPr>
          <w:rFonts w:ascii="Times New Roman" w:hAnsi="Times New Roman" w:cs="Times New Roman"/>
          <w:bCs/>
          <w:lang w:val="lt-LT"/>
        </w:rPr>
        <w:t>Bendrovės įstatinio kapitalo;</w:t>
      </w:r>
    </w:p>
    <w:p w14:paraId="7E766F59" w14:textId="0BC6AB49"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7.3. Terminas, per kurį bendrovė gali įsigyti savas akcijas – 18 mėnesių nuo šio sprendimo</w:t>
      </w:r>
      <w:r w:rsidR="00325138">
        <w:rPr>
          <w:rFonts w:ascii="Times New Roman" w:hAnsi="Times New Roman" w:cs="Times New Roman"/>
          <w:bCs/>
          <w:lang w:val="lt-LT"/>
        </w:rPr>
        <w:t xml:space="preserve"> </w:t>
      </w:r>
      <w:r w:rsidRPr="00325138">
        <w:rPr>
          <w:rFonts w:ascii="Times New Roman" w:hAnsi="Times New Roman" w:cs="Times New Roman"/>
          <w:bCs/>
          <w:lang w:val="lt-LT"/>
        </w:rPr>
        <w:t>priėmimo dienos;</w:t>
      </w:r>
    </w:p>
    <w:p w14:paraId="271B6628" w14:textId="0F45DE29"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7.4. Maksimali ir minimali akcijų įsigijimo kaina – maksimali vienos akcijos įsigijimo kaina –</w:t>
      </w:r>
      <w:r w:rsidR="00325138">
        <w:rPr>
          <w:rFonts w:ascii="Times New Roman" w:hAnsi="Times New Roman" w:cs="Times New Roman"/>
          <w:bCs/>
          <w:lang w:val="lt-LT"/>
        </w:rPr>
        <w:t xml:space="preserve"> </w:t>
      </w:r>
      <w:r w:rsidRPr="00325138">
        <w:rPr>
          <w:rFonts w:ascii="Times New Roman" w:hAnsi="Times New Roman" w:cs="Times New Roman"/>
          <w:bCs/>
          <w:lang w:val="lt-LT"/>
        </w:rPr>
        <w:t>2,94 eurai už vieną AB „Rokiškio sūris“ paprastąją vardinę akciją. Minimali vienos akcijos</w:t>
      </w:r>
      <w:r w:rsidR="00325138">
        <w:rPr>
          <w:rFonts w:ascii="Times New Roman" w:hAnsi="Times New Roman" w:cs="Times New Roman"/>
          <w:bCs/>
          <w:lang w:val="lt-LT"/>
        </w:rPr>
        <w:t xml:space="preserve"> </w:t>
      </w:r>
      <w:r w:rsidRPr="00325138">
        <w:rPr>
          <w:rFonts w:ascii="Times New Roman" w:hAnsi="Times New Roman" w:cs="Times New Roman"/>
          <w:bCs/>
          <w:lang w:val="lt-LT"/>
        </w:rPr>
        <w:t>įsigijimo kaina – 1,98 eurai už vieną AB „Rokiškio sūris“ paprastąją vardinę akciją.</w:t>
      </w:r>
    </w:p>
    <w:p w14:paraId="6AF84AA6" w14:textId="6FD11EAE"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7.5. Savų akcijų pardavimo tvarka ir minimali pardavimo kaina – savos supirktos akcijos nebus</w:t>
      </w:r>
      <w:r w:rsidR="00325138">
        <w:rPr>
          <w:rFonts w:ascii="Times New Roman" w:hAnsi="Times New Roman" w:cs="Times New Roman"/>
          <w:bCs/>
          <w:lang w:val="lt-LT"/>
        </w:rPr>
        <w:t xml:space="preserve"> </w:t>
      </w:r>
      <w:r w:rsidRPr="00325138">
        <w:rPr>
          <w:rFonts w:ascii="Times New Roman" w:hAnsi="Times New Roman" w:cs="Times New Roman"/>
          <w:bCs/>
          <w:lang w:val="lt-LT"/>
        </w:rPr>
        <w:t>parduodamos, o visuotinio akcininkų susirinkimo sprendimu bus anuliuojamos, sumažinant</w:t>
      </w:r>
      <w:r w:rsidR="00325138">
        <w:rPr>
          <w:rFonts w:ascii="Times New Roman" w:hAnsi="Times New Roman" w:cs="Times New Roman"/>
          <w:bCs/>
          <w:lang w:val="lt-LT"/>
        </w:rPr>
        <w:t xml:space="preserve"> </w:t>
      </w:r>
      <w:r w:rsidRPr="00325138">
        <w:rPr>
          <w:rFonts w:ascii="Times New Roman" w:hAnsi="Times New Roman" w:cs="Times New Roman"/>
          <w:bCs/>
          <w:lang w:val="lt-LT"/>
        </w:rPr>
        <w:t>Bendrovės įstatinį kapitalą.</w:t>
      </w:r>
    </w:p>
    <w:p w14:paraId="49ECB46F" w14:textId="46BCB406" w:rsidR="0040293C" w:rsidRPr="00325138" w:rsidRDefault="0040293C"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7.6. Pavesti Bendrovės valdybai, laikantis šiame sprendime nustatytų sąlygų ir Lietuvos</w:t>
      </w:r>
      <w:r w:rsidR="00325138">
        <w:rPr>
          <w:rFonts w:ascii="Times New Roman" w:hAnsi="Times New Roman" w:cs="Times New Roman"/>
          <w:bCs/>
          <w:lang w:val="lt-LT"/>
        </w:rPr>
        <w:t xml:space="preserve"> </w:t>
      </w:r>
      <w:r w:rsidRPr="00325138">
        <w:rPr>
          <w:rFonts w:ascii="Times New Roman" w:hAnsi="Times New Roman" w:cs="Times New Roman"/>
          <w:bCs/>
          <w:lang w:val="lt-LT"/>
        </w:rPr>
        <w:t>Respublikos</w:t>
      </w:r>
      <w:r w:rsidR="00325138">
        <w:rPr>
          <w:rFonts w:ascii="Times New Roman" w:hAnsi="Times New Roman" w:cs="Times New Roman"/>
          <w:bCs/>
          <w:lang w:val="lt-LT"/>
        </w:rPr>
        <w:t xml:space="preserve"> </w:t>
      </w:r>
      <w:r w:rsidRPr="00325138">
        <w:rPr>
          <w:rFonts w:ascii="Times New Roman" w:hAnsi="Times New Roman" w:cs="Times New Roman"/>
          <w:bCs/>
          <w:lang w:val="lt-LT"/>
        </w:rPr>
        <w:t>akcinių bendrovių įstatymo reikalavimų, priimti sprendimus dėl Bendrovės savų akcijų</w:t>
      </w:r>
      <w:r w:rsidR="00325138">
        <w:rPr>
          <w:rFonts w:ascii="Times New Roman" w:hAnsi="Times New Roman" w:cs="Times New Roman"/>
          <w:bCs/>
          <w:lang w:val="lt-LT"/>
        </w:rPr>
        <w:t xml:space="preserve"> </w:t>
      </w:r>
      <w:r w:rsidRPr="00325138">
        <w:rPr>
          <w:rFonts w:ascii="Times New Roman" w:hAnsi="Times New Roman" w:cs="Times New Roman"/>
          <w:bCs/>
          <w:lang w:val="lt-LT"/>
        </w:rPr>
        <w:t>supirkimo,</w:t>
      </w:r>
      <w:r w:rsidR="00325138">
        <w:rPr>
          <w:rFonts w:ascii="Times New Roman" w:hAnsi="Times New Roman" w:cs="Times New Roman"/>
          <w:bCs/>
          <w:lang w:val="lt-LT"/>
        </w:rPr>
        <w:t xml:space="preserve"> </w:t>
      </w:r>
      <w:r w:rsidRPr="00325138">
        <w:rPr>
          <w:rFonts w:ascii="Times New Roman" w:hAnsi="Times New Roman" w:cs="Times New Roman"/>
          <w:bCs/>
          <w:lang w:val="lt-LT"/>
        </w:rPr>
        <w:t>organizuoti savų akcijų supirkimą, nustatyti akcijų supirkimo tvarką ir laiką, akcijų</w:t>
      </w:r>
      <w:r w:rsidR="00325138">
        <w:rPr>
          <w:rFonts w:ascii="Times New Roman" w:hAnsi="Times New Roman" w:cs="Times New Roman"/>
          <w:bCs/>
          <w:lang w:val="lt-LT"/>
        </w:rPr>
        <w:t xml:space="preserve"> </w:t>
      </w:r>
      <w:r w:rsidRPr="00325138">
        <w:rPr>
          <w:rFonts w:ascii="Times New Roman" w:hAnsi="Times New Roman" w:cs="Times New Roman"/>
          <w:bCs/>
          <w:lang w:val="lt-LT"/>
        </w:rPr>
        <w:t>skaičių bei kainą, taip pat atlikti kitus su savų akcijų įsigijimu ir pardavimu susijusius veiksmus.</w:t>
      </w:r>
    </w:p>
    <w:p w14:paraId="1929690A" w14:textId="77777777" w:rsidR="0040293C" w:rsidRPr="00325138" w:rsidRDefault="0040293C" w:rsidP="00325138">
      <w:pPr>
        <w:spacing w:after="0"/>
        <w:ind w:right="43"/>
        <w:jc w:val="both"/>
        <w:rPr>
          <w:rFonts w:ascii="Times New Roman" w:hAnsi="Times New Roman" w:cs="Times New Roman"/>
          <w:bCs/>
          <w:sz w:val="8"/>
          <w:szCs w:val="8"/>
          <w:lang w:val="lt-LT"/>
        </w:rPr>
      </w:pPr>
    </w:p>
    <w:p w14:paraId="18D2E1BD" w14:textId="1EDCD6CE" w:rsidR="0040293C" w:rsidRPr="00325138" w:rsidRDefault="0040293C" w:rsidP="00325138">
      <w:pPr>
        <w:spacing w:after="0"/>
        <w:ind w:right="43"/>
        <w:jc w:val="both"/>
        <w:rPr>
          <w:rFonts w:ascii="Times New Roman" w:hAnsi="Times New Roman" w:cs="Times New Roman"/>
          <w:bCs/>
          <w:i/>
          <w:iCs/>
          <w:lang w:val="lt-LT"/>
        </w:rPr>
      </w:pPr>
      <w:r w:rsidRPr="00325138">
        <w:rPr>
          <w:rFonts w:ascii="Times New Roman" w:hAnsi="Times New Roman" w:cs="Times New Roman"/>
          <w:bCs/>
          <w:i/>
          <w:iCs/>
          <w:lang w:val="lt-LT"/>
        </w:rPr>
        <w:t>Savų akcijų įsigijimui Bendrovė turi sudariusi 9 943 mln. eurų rezervą.</w:t>
      </w:r>
    </w:p>
    <w:p w14:paraId="3ACDE5E0" w14:textId="1FF5CCDD" w:rsidR="0040293C" w:rsidRPr="00325138" w:rsidRDefault="0040293C" w:rsidP="00325138">
      <w:pPr>
        <w:spacing w:after="0"/>
        <w:ind w:right="43"/>
        <w:jc w:val="both"/>
        <w:rPr>
          <w:rFonts w:ascii="Times New Roman" w:hAnsi="Times New Roman" w:cs="Times New Roman"/>
          <w:bCs/>
          <w:i/>
          <w:iCs/>
          <w:lang w:val="lt-LT"/>
        </w:rPr>
      </w:pPr>
      <w:r w:rsidRPr="00325138">
        <w:rPr>
          <w:rFonts w:ascii="Times New Roman" w:hAnsi="Times New Roman" w:cs="Times New Roman"/>
          <w:bCs/>
          <w:i/>
          <w:iCs/>
          <w:lang w:val="lt-LT"/>
        </w:rPr>
        <w:t>Nuo šio sprendimo priėmimo dienos nustoja galioti 2024 m. balandžio 30 d. visuotinio akcininkų</w:t>
      </w:r>
      <w:r w:rsidR="00325138">
        <w:rPr>
          <w:rFonts w:ascii="Times New Roman" w:hAnsi="Times New Roman" w:cs="Times New Roman"/>
          <w:bCs/>
          <w:i/>
          <w:iCs/>
          <w:lang w:val="lt-LT"/>
        </w:rPr>
        <w:t xml:space="preserve"> </w:t>
      </w:r>
      <w:r w:rsidRPr="00325138">
        <w:rPr>
          <w:rFonts w:ascii="Times New Roman" w:hAnsi="Times New Roman" w:cs="Times New Roman"/>
          <w:bCs/>
          <w:i/>
          <w:iCs/>
          <w:lang w:val="lt-LT"/>
        </w:rPr>
        <w:t>susirinkimo sprendimas dėl savų akcijų įsigijimo.</w:t>
      </w:r>
    </w:p>
    <w:p w14:paraId="51572A3A" w14:textId="77777777" w:rsidR="0040293C" w:rsidRPr="00325138" w:rsidRDefault="0040293C" w:rsidP="00325138">
      <w:pPr>
        <w:spacing w:after="0"/>
        <w:ind w:right="43"/>
        <w:jc w:val="both"/>
        <w:rPr>
          <w:rFonts w:ascii="Times New Roman" w:hAnsi="Times New Roman" w:cs="Times New Roman"/>
          <w:bCs/>
          <w:i/>
          <w:iCs/>
          <w:sz w:val="8"/>
          <w:szCs w:val="8"/>
          <w:lang w:val="lt-LT"/>
        </w:rPr>
      </w:pPr>
    </w:p>
    <w:p w14:paraId="3554F143" w14:textId="11A82A4F" w:rsidR="0040293C" w:rsidRPr="00325138" w:rsidRDefault="00D129E2" w:rsidP="00325138">
      <w:pPr>
        <w:spacing w:after="0"/>
        <w:ind w:right="43"/>
        <w:jc w:val="both"/>
        <w:rPr>
          <w:rFonts w:ascii="Times New Roman" w:hAnsi="Times New Roman" w:cs="Times New Roman"/>
          <w:b/>
          <w:lang w:val="lt-LT"/>
        </w:rPr>
      </w:pPr>
      <w:r w:rsidRPr="00325138">
        <w:rPr>
          <w:rFonts w:ascii="Times New Roman" w:hAnsi="Times New Roman" w:cs="Times New Roman"/>
          <w:b/>
          <w:lang w:val="lt-LT"/>
        </w:rPr>
        <w:t>8. Audito įmonės rinkimai ir audito paslaugų apmokėjimo sąlygų nustatymas</w:t>
      </w:r>
    </w:p>
    <w:p w14:paraId="7DAE62DB" w14:textId="31E22C33" w:rsidR="00D129E2" w:rsidRPr="00325138" w:rsidRDefault="00D129E2"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8.1. Išrinkta audito įmonė UAB BDO Auditas ir apskaita, juridinio asmens kodas 135273426,</w:t>
      </w:r>
      <w:r w:rsidR="00325138">
        <w:rPr>
          <w:rFonts w:ascii="Times New Roman" w:hAnsi="Times New Roman" w:cs="Times New Roman"/>
          <w:bCs/>
          <w:lang w:val="lt-LT"/>
        </w:rPr>
        <w:t xml:space="preserve"> </w:t>
      </w:r>
      <w:r w:rsidRPr="00325138">
        <w:rPr>
          <w:rFonts w:ascii="Times New Roman" w:hAnsi="Times New Roman" w:cs="Times New Roman"/>
          <w:bCs/>
          <w:lang w:val="lt-LT"/>
        </w:rPr>
        <w:t>buveinės adresas: K. Baršausko g. 66, Kaunas, atlikti 2025 m. ir 2026 m. AB Rokiškio sūris grupės</w:t>
      </w:r>
      <w:r w:rsidR="00325138">
        <w:rPr>
          <w:rFonts w:ascii="Times New Roman" w:hAnsi="Times New Roman" w:cs="Times New Roman"/>
          <w:bCs/>
          <w:lang w:val="lt-LT"/>
        </w:rPr>
        <w:t xml:space="preserve"> </w:t>
      </w:r>
      <w:r w:rsidRPr="00325138">
        <w:rPr>
          <w:rFonts w:ascii="Times New Roman" w:hAnsi="Times New Roman" w:cs="Times New Roman"/>
          <w:bCs/>
          <w:lang w:val="lt-LT"/>
        </w:rPr>
        <w:t>ir patronuojančios įmonės konsoliduotų ir atskirų finansinių ataskaitų auditą, konsoliduotos</w:t>
      </w:r>
      <w:r w:rsidR="00325138">
        <w:rPr>
          <w:rFonts w:ascii="Times New Roman" w:hAnsi="Times New Roman" w:cs="Times New Roman"/>
          <w:bCs/>
          <w:lang w:val="lt-LT"/>
        </w:rPr>
        <w:t xml:space="preserve"> </w:t>
      </w:r>
      <w:r w:rsidRPr="00325138">
        <w:rPr>
          <w:rFonts w:ascii="Times New Roman" w:hAnsi="Times New Roman" w:cs="Times New Roman"/>
          <w:bCs/>
          <w:lang w:val="lt-LT"/>
        </w:rPr>
        <w:t>vadovybės ataskaitos, įskaitant tvarumo informacijos, užtikrinimo paslaugas.</w:t>
      </w:r>
    </w:p>
    <w:p w14:paraId="27485B2C" w14:textId="75205C04" w:rsidR="00D129E2" w:rsidRPr="00325138" w:rsidRDefault="00D129E2"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8.2 Bendrovės direktorius įgaliotas sudaryti audito paslaugų sutartį, pagal kurią už paslaugas būtų</w:t>
      </w:r>
      <w:r w:rsidR="00325138">
        <w:rPr>
          <w:rFonts w:ascii="Times New Roman" w:hAnsi="Times New Roman" w:cs="Times New Roman"/>
          <w:bCs/>
          <w:lang w:val="lt-LT"/>
        </w:rPr>
        <w:t xml:space="preserve"> </w:t>
      </w:r>
      <w:r w:rsidRPr="00325138">
        <w:rPr>
          <w:rFonts w:ascii="Times New Roman" w:hAnsi="Times New Roman" w:cs="Times New Roman"/>
          <w:bCs/>
          <w:lang w:val="lt-LT"/>
        </w:rPr>
        <w:t>mokama šalių sutarta kaina, bet ne daugiau kaip 138 000 Eur be PVM.</w:t>
      </w:r>
    </w:p>
    <w:p w14:paraId="29FFE1FC" w14:textId="77777777" w:rsidR="00D129E2" w:rsidRPr="00325138" w:rsidRDefault="00D129E2" w:rsidP="00325138">
      <w:pPr>
        <w:spacing w:after="0"/>
        <w:ind w:right="43"/>
        <w:jc w:val="both"/>
        <w:rPr>
          <w:rFonts w:ascii="Times New Roman" w:hAnsi="Times New Roman" w:cs="Times New Roman"/>
          <w:bCs/>
          <w:sz w:val="8"/>
          <w:szCs w:val="8"/>
          <w:lang w:val="lt-LT"/>
        </w:rPr>
      </w:pPr>
    </w:p>
    <w:p w14:paraId="3F8F93A2" w14:textId="0AF9975D" w:rsidR="00D129E2" w:rsidRPr="00325138" w:rsidRDefault="00D129E2" w:rsidP="00325138">
      <w:pPr>
        <w:spacing w:after="0"/>
        <w:ind w:right="43"/>
        <w:jc w:val="both"/>
        <w:rPr>
          <w:rFonts w:ascii="Times New Roman" w:hAnsi="Times New Roman" w:cs="Times New Roman"/>
          <w:b/>
          <w:lang w:val="lt-LT"/>
        </w:rPr>
      </w:pPr>
      <w:r w:rsidRPr="00325138">
        <w:rPr>
          <w:rFonts w:ascii="Times New Roman" w:hAnsi="Times New Roman" w:cs="Times New Roman"/>
          <w:b/>
          <w:lang w:val="lt-LT"/>
        </w:rPr>
        <w:t>9. Audito komiteto narių rinkimai</w:t>
      </w:r>
    </w:p>
    <w:p w14:paraId="35D38E15" w14:textId="607C27E7" w:rsidR="00D129E2" w:rsidRPr="00325138" w:rsidRDefault="00D129E2" w:rsidP="00325138">
      <w:pPr>
        <w:spacing w:after="0"/>
        <w:ind w:right="43"/>
        <w:jc w:val="both"/>
        <w:rPr>
          <w:rFonts w:ascii="Times New Roman" w:hAnsi="Times New Roman" w:cs="Times New Roman"/>
          <w:bCs/>
          <w:lang w:val="lt-LT"/>
        </w:rPr>
      </w:pPr>
      <w:r w:rsidRPr="00325138">
        <w:rPr>
          <w:rFonts w:ascii="Times New Roman" w:hAnsi="Times New Roman" w:cs="Times New Roman"/>
          <w:bCs/>
          <w:lang w:val="lt-LT"/>
        </w:rPr>
        <w:t>Audito komiteto nariais 4 metų kadencijai išrinkti: Kęstutį Gatavecką (nepriklausomas narys), Vidmantą Pečiūrą (nepriklausomas narys) ir Dalią Zdanevičienę (AB Rokiškio sūris finansų sk. darbuotoja). Atlyginimą už darbą nustatyti ir sutartis su nariais pasirašyti įgalioti atitinkamai Valdybą ir bendrovės Direktorių.</w:t>
      </w:r>
    </w:p>
    <w:p w14:paraId="4887F188" w14:textId="77777777" w:rsidR="00D129E2" w:rsidRPr="00325138" w:rsidRDefault="00D129E2" w:rsidP="00325138">
      <w:pPr>
        <w:spacing w:after="0"/>
        <w:ind w:right="43"/>
        <w:jc w:val="both"/>
        <w:rPr>
          <w:rFonts w:ascii="Times New Roman" w:hAnsi="Times New Roman" w:cs="Times New Roman"/>
          <w:bCs/>
          <w:lang w:val="lt-LT"/>
        </w:rPr>
      </w:pPr>
    </w:p>
    <w:p w14:paraId="37A8C75F" w14:textId="710FBBFD" w:rsidR="0058198D" w:rsidRPr="00325138" w:rsidRDefault="00D129E2" w:rsidP="00325138">
      <w:pPr>
        <w:spacing w:after="0"/>
        <w:ind w:right="43"/>
        <w:rPr>
          <w:rFonts w:ascii="Times New Roman" w:hAnsi="Times New Roman" w:cs="Times New Roman"/>
          <w:bCs/>
          <w:lang w:val="lt-LT"/>
        </w:rPr>
      </w:pPr>
      <w:r w:rsidRPr="00325138">
        <w:rPr>
          <w:rFonts w:ascii="Times New Roman" w:hAnsi="Times New Roman" w:cs="Times New Roman"/>
          <w:bCs/>
        </w:rPr>
        <w:t>Dalius Trumpa</w:t>
      </w:r>
      <w:r w:rsidRPr="00325138">
        <w:rPr>
          <w:rFonts w:ascii="Times New Roman" w:hAnsi="Times New Roman" w:cs="Times New Roman"/>
          <w:bCs/>
        </w:rPr>
        <w:br/>
      </w:r>
      <w:proofErr w:type="spellStart"/>
      <w:r w:rsidRPr="00325138">
        <w:rPr>
          <w:rFonts w:ascii="Times New Roman" w:hAnsi="Times New Roman" w:cs="Times New Roman"/>
          <w:bCs/>
        </w:rPr>
        <w:t>Bendrovės</w:t>
      </w:r>
      <w:proofErr w:type="spellEnd"/>
      <w:r w:rsidRPr="00325138">
        <w:rPr>
          <w:rFonts w:ascii="Times New Roman" w:hAnsi="Times New Roman" w:cs="Times New Roman"/>
          <w:bCs/>
        </w:rPr>
        <w:t xml:space="preserve"> </w:t>
      </w:r>
      <w:proofErr w:type="spellStart"/>
      <w:r w:rsidRPr="00325138">
        <w:rPr>
          <w:rFonts w:ascii="Times New Roman" w:hAnsi="Times New Roman" w:cs="Times New Roman"/>
          <w:bCs/>
        </w:rPr>
        <w:t>vadovas</w:t>
      </w:r>
      <w:proofErr w:type="spellEnd"/>
      <w:r w:rsidRPr="00325138">
        <w:rPr>
          <w:rFonts w:ascii="Times New Roman" w:hAnsi="Times New Roman" w:cs="Times New Roman"/>
          <w:bCs/>
        </w:rPr>
        <w:br/>
        <w:t>+370 458 55200</w:t>
      </w:r>
    </w:p>
    <w:sectPr w:rsidR="0058198D" w:rsidRPr="00325138" w:rsidSect="00325138">
      <w:pgSz w:w="12240" w:h="15840"/>
      <w:pgMar w:top="709"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CE"/>
    <w:rsid w:val="00124C7A"/>
    <w:rsid w:val="00325138"/>
    <w:rsid w:val="00335E5D"/>
    <w:rsid w:val="0040293C"/>
    <w:rsid w:val="00450F73"/>
    <w:rsid w:val="0045311B"/>
    <w:rsid w:val="0058198D"/>
    <w:rsid w:val="008E08CE"/>
    <w:rsid w:val="00D1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3954"/>
  <w15:chartTrackingRefBased/>
  <w15:docId w15:val="{493F4EF8-923B-4418-93DF-AE6A8CD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8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8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8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8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8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8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8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8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8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8CE"/>
    <w:rPr>
      <w:rFonts w:eastAsiaTheme="majorEastAsia" w:cstheme="majorBidi"/>
      <w:color w:val="272727" w:themeColor="text1" w:themeTint="D8"/>
    </w:rPr>
  </w:style>
  <w:style w:type="paragraph" w:styleId="Title">
    <w:name w:val="Title"/>
    <w:basedOn w:val="Normal"/>
    <w:next w:val="Normal"/>
    <w:link w:val="TitleChar"/>
    <w:uiPriority w:val="10"/>
    <w:qFormat/>
    <w:rsid w:val="008E0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8CE"/>
    <w:pPr>
      <w:spacing w:before="160"/>
      <w:jc w:val="center"/>
    </w:pPr>
    <w:rPr>
      <w:i/>
      <w:iCs/>
      <w:color w:val="404040" w:themeColor="text1" w:themeTint="BF"/>
    </w:rPr>
  </w:style>
  <w:style w:type="character" w:customStyle="1" w:styleId="QuoteChar">
    <w:name w:val="Quote Char"/>
    <w:basedOn w:val="DefaultParagraphFont"/>
    <w:link w:val="Quote"/>
    <w:uiPriority w:val="29"/>
    <w:rsid w:val="008E08CE"/>
    <w:rPr>
      <w:i/>
      <w:iCs/>
      <w:color w:val="404040" w:themeColor="text1" w:themeTint="BF"/>
    </w:rPr>
  </w:style>
  <w:style w:type="paragraph" w:styleId="ListParagraph">
    <w:name w:val="List Paragraph"/>
    <w:basedOn w:val="Normal"/>
    <w:uiPriority w:val="34"/>
    <w:qFormat/>
    <w:rsid w:val="008E08CE"/>
    <w:pPr>
      <w:ind w:left="720"/>
      <w:contextualSpacing/>
    </w:pPr>
  </w:style>
  <w:style w:type="character" w:styleId="IntenseEmphasis">
    <w:name w:val="Intense Emphasis"/>
    <w:basedOn w:val="DefaultParagraphFont"/>
    <w:uiPriority w:val="21"/>
    <w:qFormat/>
    <w:rsid w:val="008E08CE"/>
    <w:rPr>
      <w:i/>
      <w:iCs/>
      <w:color w:val="2F5496" w:themeColor="accent1" w:themeShade="BF"/>
    </w:rPr>
  </w:style>
  <w:style w:type="paragraph" w:styleId="IntenseQuote">
    <w:name w:val="Intense Quote"/>
    <w:basedOn w:val="Normal"/>
    <w:next w:val="Normal"/>
    <w:link w:val="IntenseQuoteChar"/>
    <w:uiPriority w:val="30"/>
    <w:qFormat/>
    <w:rsid w:val="008E0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8CE"/>
    <w:rPr>
      <w:i/>
      <w:iCs/>
      <w:color w:val="2F5496" w:themeColor="accent1" w:themeShade="BF"/>
    </w:rPr>
  </w:style>
  <w:style w:type="character" w:styleId="IntenseReference">
    <w:name w:val="Intense Reference"/>
    <w:basedOn w:val="DefaultParagraphFont"/>
    <w:uiPriority w:val="32"/>
    <w:qFormat/>
    <w:rsid w:val="008E08CE"/>
    <w:rPr>
      <w:b/>
      <w:bCs/>
      <w:smallCaps/>
      <w:color w:val="2F5496" w:themeColor="accent1" w:themeShade="BF"/>
      <w:spacing w:val="5"/>
    </w:rPr>
  </w:style>
  <w:style w:type="paragraph" w:styleId="NormalWeb">
    <w:name w:val="Normal (Web)"/>
    <w:basedOn w:val="Normal"/>
    <w:uiPriority w:val="99"/>
    <w:semiHidden/>
    <w:unhideWhenUsed/>
    <w:rsid w:val="004029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18706">
      <w:bodyDiv w:val="1"/>
      <w:marLeft w:val="0"/>
      <w:marRight w:val="0"/>
      <w:marTop w:val="0"/>
      <w:marBottom w:val="0"/>
      <w:divBdr>
        <w:top w:val="none" w:sz="0" w:space="0" w:color="auto"/>
        <w:left w:val="none" w:sz="0" w:space="0" w:color="auto"/>
        <w:bottom w:val="none" w:sz="0" w:space="0" w:color="auto"/>
        <w:right w:val="none" w:sz="0" w:space="0" w:color="auto"/>
      </w:divBdr>
    </w:div>
    <w:div w:id="1427194406">
      <w:bodyDiv w:val="1"/>
      <w:marLeft w:val="0"/>
      <w:marRight w:val="0"/>
      <w:marTop w:val="0"/>
      <w:marBottom w:val="0"/>
      <w:divBdr>
        <w:top w:val="none" w:sz="0" w:space="0" w:color="auto"/>
        <w:left w:val="none" w:sz="0" w:space="0" w:color="auto"/>
        <w:bottom w:val="none" w:sz="0" w:space="0" w:color="auto"/>
        <w:right w:val="none" w:sz="0" w:space="0" w:color="auto"/>
      </w:divBdr>
    </w:div>
    <w:div w:id="1561596945">
      <w:bodyDiv w:val="1"/>
      <w:marLeft w:val="0"/>
      <w:marRight w:val="0"/>
      <w:marTop w:val="0"/>
      <w:marBottom w:val="0"/>
      <w:divBdr>
        <w:top w:val="none" w:sz="0" w:space="0" w:color="auto"/>
        <w:left w:val="none" w:sz="0" w:space="0" w:color="auto"/>
        <w:bottom w:val="none" w:sz="0" w:space="0" w:color="auto"/>
        <w:right w:val="none" w:sz="0" w:space="0" w:color="auto"/>
      </w:divBdr>
    </w:div>
    <w:div w:id="16394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3224</Words>
  <Characters>1839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Gražytė</dc:creator>
  <cp:keywords/>
  <dc:description/>
  <cp:lastModifiedBy>Paulina Lašaitė</cp:lastModifiedBy>
  <cp:revision>3</cp:revision>
  <dcterms:created xsi:type="dcterms:W3CDTF">2025-05-07T15:05:00Z</dcterms:created>
  <dcterms:modified xsi:type="dcterms:W3CDTF">2025-05-07T15:05:00Z</dcterms:modified>
</cp:coreProperties>
</file>